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新疆喀什地区巴楚县农业农村局2019年度部门决算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24028"/>
      <w:bookmarkStart w:id="1" w:name="_Toc32314"/>
      <w:r>
        <w:rPr>
          <w:rFonts w:hint="eastAsia" w:ascii="黑体" w:hAnsi="黑体" w:eastAsia="黑体"/>
          <w:sz w:val="32"/>
          <w:szCs w:val="32"/>
        </w:rPr>
        <w:t>第一部分 部门单位概况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rPr>
          <w:rFonts w:ascii="仿宋_GB2312" w:eastAsia="仿宋_GB2312"/>
          <w:sz w:val="32"/>
          <w:szCs w:val="32"/>
        </w:rPr>
      </w:pPr>
      <w:r>
        <w:rPr>
          <w:rFonts w:hint="eastAsia" w:ascii="仿宋_GB2312" w:eastAsia="仿宋_GB2312"/>
          <w:sz w:val="32"/>
          <w:szCs w:val="32"/>
        </w:rPr>
        <w:t xml:space="preserve">    （1）组织实施巴楚县“三农”工作的发展战略、中长期规划、重大政策。指导监督农业综合执法。参与涉农的财税、价格、收储、金融等政策研究。（2）统筹推动发展农村社会事业、农村公共服务、农村文化、农村基础设施和乡村治理。牵头组织改善农村人居环境。指导农村精神文明和优秀农耕文化建设。指导农村行业安全生产工作。（3）贯彻深化农村经济体制改革和巩固完善农村基本经营制度的政策。负责农民承包地、农村宅基地改革和管理有关工作，负责农村集体产权制度改革，指导农村集体经济组织发展和集体资产管理工作。指导农民合作经济组织、农村社会化服务体系、新型农村经营主体建设与发展。（4）指导乡村特色产业、农产品加工业、休闲农业和乡镇企业发展工作。提出促进大宗农产品流通的建议，培育、保护农业品牌，发布农业农村经济信息，监测分析农业农村经济运行。承担农业统计和农业农村信息化有关工作。（5）负责种植业、农业机械化等农业各产业的监督管理，指导农业产业化发展。指导粮食等农产品生产。组织构建现代农业产业体系、生产体系、经营体系，指导农业标准化生产。负责渔业监督管理。（6）负责农产品质量安全监督管理。组织开展农产品质量安全监测、追溯、风险评估。参与制定农产品质量安全标准并会同有关部门组织实施。指导农产品检验检测体系建设。（7）组织农业资源区划工作。指导农用地，农业生物物种资源的保护与管理，负责耕地及永久本农田质量保护工作。指导农产品产地环境管理和农业清洁生产。指导设施农业、生态循环农业、节水农业发展以及农村可再生能源综合开发利用、农业生物质产业发展。承担外来物种相关管理工作。（8）负责巴楚县有关农业生产资料和农业投入品的监督管理。组织农业生产资料市场体系建设，监督实施有关农业生产资料标准。（9）负责农业防火减灾、农作物重大病虫害防治工作。指导植物防疫检疫体系建设，组织、监督县内植物防疫检疫工作，发布疫情并组织扑灭。（10）负责农业投资管理。提出农业投融资体制机制改革建议。编制中央、自治区、地区、巴楚县投资安排的农业投资项目建设规划，提出农业投资规模和方向、扶持农业农村发展财政项目的建议，按规定权限审批农业投资项目，负责农业投资项目资金安排和监督管理。(11)承担农业科技体制改革和农业科技创新体系建设。指导农业产业技术体系和农技推广体系建设，组织开展农业领域的高新技术和应用技术研究、科技成果转化和技术推广。负责农业转基因生物安全监督管理和农业植物新品种保护。（12）指导农业农村人才工作。拟订农业农村人才队伍建设规划并组织实施，指导农业教育和农业职业技能开发，指导新型农业农民培育、农业科技人才培养和农村实用人才培训工作。（13）牵头开展农业对外合作工作，承担农业涉外事务，参与巴楚县农业贸易促进和有关对外交流合作，参与农业对外援助政策规划制定，协助有关部门组织实施有关农业援外项目。（14）统一管理和协调县畜牧兽医局。（15）完成县委、县人民政府交办的其他任务。（16）职能转变。</w:t>
      </w:r>
    </w:p>
    <w:p>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pPr>
      <w:r>
        <w:rPr>
          <w:rFonts w:hint="eastAsia" w:ascii="仿宋_GB2312" w:eastAsia="仿宋_GB2312"/>
          <w:sz w:val="32"/>
          <w:szCs w:val="32"/>
        </w:rPr>
        <w:t>新疆喀什地区巴楚县农业农村局2</w:t>
      </w:r>
      <w:r>
        <w:rPr>
          <w:rFonts w:ascii="仿宋_GB2312" w:eastAsia="仿宋_GB2312"/>
          <w:sz w:val="32"/>
          <w:szCs w:val="32"/>
        </w:rPr>
        <w:t>019</w:t>
      </w:r>
      <w:r>
        <w:rPr>
          <w:rFonts w:hint="eastAsia" w:ascii="仿宋_GB2312" w:eastAsia="仿宋_GB2312"/>
          <w:sz w:val="32"/>
          <w:szCs w:val="32"/>
        </w:rPr>
        <w:t>年度，实有人数59人，其中：在职人员59人，离休人员0人，退休人员0人。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从部门决算单位构成看，新疆喀什地区巴楚县农业农村局部门决算包括：新疆喀什地区巴楚县农业农村局决算。</w:t>
      </w:r>
    </w:p>
    <w:p>
      <w:pPr>
        <w:ind w:firstLine="640" w:firstLineChars="200"/>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hint="eastAsia" w:ascii="仿宋_GB2312" w:eastAsia="仿宋_GB2312"/>
          <w:sz w:val="32"/>
          <w:szCs w:val="32"/>
        </w:rPr>
        <w:t>2019年度本年收入2,999.37万元，与上年相比，减少69万元，下降2.25%，主要原因是：</w:t>
      </w:r>
      <w:r>
        <w:rPr>
          <w:rFonts w:hint="eastAsia" w:ascii="仿宋_GB2312" w:eastAsia="仿宋_GB2312"/>
          <w:color w:val="000000" w:themeColor="text1"/>
          <w:sz w:val="32"/>
          <w:szCs w:val="32"/>
          <w14:textFill>
            <w14:solidFill>
              <w14:schemeClr w14:val="tx1"/>
            </w14:solidFill>
          </w14:textFill>
        </w:rPr>
        <w:t>单位机构改革，机构重组，原巴楚县农林局机构改革分为巴楚县农业农村局，人员调整，项目调整。</w:t>
      </w:r>
      <w:r>
        <w:rPr>
          <w:rFonts w:hint="eastAsia" w:ascii="仿宋_GB2312" w:eastAsia="仿宋_GB2312"/>
          <w:sz w:val="32"/>
          <w:szCs w:val="32"/>
        </w:rPr>
        <w:t>本年支出2,999.37万元，与上年相比，减少3,876.44万元，下降56.38%，主要原因是：</w:t>
      </w:r>
      <w:r>
        <w:rPr>
          <w:rFonts w:hint="eastAsia" w:ascii="仿宋_GB2312" w:eastAsia="仿宋_GB2312"/>
          <w:color w:val="000000" w:themeColor="text1"/>
          <w:sz w:val="32"/>
          <w:szCs w:val="32"/>
          <w14:textFill>
            <w14:solidFill>
              <w14:schemeClr w14:val="tx1"/>
            </w14:solidFill>
          </w14:textFill>
        </w:rPr>
        <w:t>单位机构改革，机构重组，原巴楚县农林局机构改革分为巴楚县农业农村局，人员调整，项目调整。</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年度本年收入2,999.37万元，其中：财政拨款收入2,999.37万元，占100%；上级补助收入0万元，占0%；事业收入0万元，占0%；经营收入0万元，占0%；附属单位上缴收入0万元，占0%；其他收入0万元，占0%。</w:t>
      </w:r>
    </w:p>
    <w:p>
      <w:pPr>
        <w:ind w:firstLine="640" w:firstLineChars="200"/>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hint="eastAsia" w:ascii="仿宋_GB2312" w:eastAsia="仿宋_GB2312"/>
          <w:sz w:val="32"/>
          <w:szCs w:val="32"/>
        </w:rPr>
        <w:t>2019年度本年支出2,999.37万元，其中：基本支出511.23万元，占17.04%；项目支出2,488.14万元，占82.96%；上缴上级支出0万元，占0%；经营支出0万元，占0%；对附属单位补助支出0万元，占0%。</w:t>
      </w:r>
    </w:p>
    <w:p>
      <w:pPr>
        <w:ind w:firstLine="640" w:firstLineChars="200"/>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hint="eastAsia" w:ascii="仿宋_GB2312" w:eastAsia="仿宋_GB2312"/>
          <w:sz w:val="32"/>
          <w:szCs w:val="32"/>
        </w:rPr>
        <w:t>2019年度财政拨款收入2,999.37万元，与上年相比，减少69万元，下降2.25%，主要原因是：单位机构改革，机构重组，原巴楚县农林局机构改革分为巴楚县农业农村局，人员调整，项目调整。财政拨款支出2,999.37万元，与上年相比，减少3,876.44万元，下降56.38%，主要原因是：</w:t>
      </w:r>
      <w:r>
        <w:rPr>
          <w:rFonts w:ascii="仿宋_GB2312" w:eastAsia="仿宋_GB2312"/>
          <w:sz w:val="32"/>
          <w:szCs w:val="32"/>
        </w:rPr>
        <w:t>单位机构改革，机构重组，原巴楚县农林局机构改革分为巴楚县农业农村局，人员调整，项目调整。</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color w:val="000000" w:themeColor="text1"/>
          <w:sz w:val="32"/>
          <w:szCs w:val="32"/>
          <w14:textFill>
            <w14:solidFill>
              <w14:schemeClr w14:val="tx1"/>
            </w14:solidFill>
          </w14:textFill>
        </w:rPr>
        <w:t>2,241.85</w:t>
      </w:r>
      <w:r>
        <w:rPr>
          <w:rFonts w:hint="eastAsia" w:ascii="仿宋_GB2312" w:eastAsia="仿宋_GB2312"/>
          <w:sz w:val="32"/>
          <w:szCs w:val="32"/>
        </w:rPr>
        <w:t>万元，决算数2,999.37万元</w:t>
      </w:r>
      <w:r>
        <w:rPr>
          <w:rFonts w:ascii="仿宋_GB2312" w:eastAsia="仿宋_GB2312"/>
          <w:color w:val="000000" w:themeColor="text1"/>
          <w:sz w:val="32"/>
          <w:szCs w:val="32"/>
          <w14:textFill>
            <w14:solidFill>
              <w14:schemeClr w14:val="tx1"/>
            </w14:solidFill>
          </w14:textFill>
        </w:rPr>
        <w:t>，预决算差异率33.79%，主要原因是：单位机构改革，机构重组，原巴楚县农林局机构改革分为巴楚县农业农村局，人员调整，项目调整。</w:t>
      </w:r>
      <w:r>
        <w:rPr>
          <w:rFonts w:hint="eastAsia" w:ascii="仿宋_GB2312" w:eastAsia="仿宋_GB2312"/>
          <w:sz w:val="32"/>
          <w:szCs w:val="32"/>
        </w:rPr>
        <w:t>财政拨款支出年初预算数</w:t>
      </w:r>
      <w:r>
        <w:rPr>
          <w:rFonts w:ascii="仿宋_GB2312" w:eastAsia="仿宋_GB2312"/>
          <w:color w:val="000000" w:themeColor="text1"/>
          <w:sz w:val="32"/>
          <w:szCs w:val="32"/>
          <w14:textFill>
            <w14:solidFill>
              <w14:schemeClr w14:val="tx1"/>
            </w14:solidFill>
          </w14:textFill>
        </w:rPr>
        <w:t>2,241.85</w:t>
      </w:r>
      <w:r>
        <w:rPr>
          <w:rFonts w:hint="eastAsia" w:ascii="仿宋_GB2312" w:eastAsia="仿宋_GB2312"/>
          <w:sz w:val="32"/>
          <w:szCs w:val="32"/>
        </w:rPr>
        <w:t>万元，决算数2,999.37万元</w:t>
      </w:r>
      <w:r>
        <w:rPr>
          <w:rFonts w:ascii="仿宋_GB2312" w:eastAsia="仿宋_GB2312"/>
          <w:color w:val="000000" w:themeColor="text1"/>
          <w:sz w:val="32"/>
          <w:szCs w:val="32"/>
          <w14:textFill>
            <w14:solidFill>
              <w14:schemeClr w14:val="tx1"/>
            </w14:solidFill>
          </w14:textFill>
        </w:rPr>
        <w:t>，预决算差异率33.79%，主要原因是：单位机构改革，机构重组，原巴楚县农林局机构改革分为巴楚县农业农村局，人员调整，项目调整。</w:t>
      </w:r>
    </w:p>
    <w:p>
      <w:pPr>
        <w:ind w:firstLine="640" w:firstLineChars="200"/>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年度一般公共预算财政拨款支出2,999.37万元。按功能分类科目项级科目公开，其中：</w:t>
      </w:r>
    </w:p>
    <w:p>
      <w:pPr>
        <w:rPr>
          <w:rFonts w:ascii="仿宋_GB2312" w:eastAsia="仿宋_GB2312"/>
          <w:sz w:val="32"/>
          <w:szCs w:val="32"/>
        </w:rPr>
      </w:pPr>
      <w:r>
        <w:rPr>
          <w:rFonts w:ascii="仿宋_GB2312" w:eastAsia="仿宋_GB2312"/>
          <w:sz w:val="32"/>
          <w:szCs w:val="32"/>
        </w:rPr>
        <w:t xml:space="preserve">   2013299其他组织事务支出0.30万元；</w:t>
      </w:r>
      <w:r>
        <w:rPr>
          <w:rFonts w:ascii="仿宋_GB2312" w:eastAsia="仿宋_GB2312"/>
          <w:sz w:val="32"/>
          <w:szCs w:val="32"/>
        </w:rPr>
        <w:br w:type="textWrapping"/>
      </w:r>
      <w:r>
        <w:rPr>
          <w:rFonts w:ascii="仿宋_GB2312" w:eastAsia="仿宋_GB2312"/>
          <w:sz w:val="32"/>
          <w:szCs w:val="32"/>
        </w:rPr>
        <w:t xml:space="preserve">   2069999其他科学技术支出53.32万元；</w:t>
      </w:r>
      <w:r>
        <w:rPr>
          <w:rFonts w:ascii="仿宋_GB2312" w:eastAsia="仿宋_GB2312"/>
          <w:sz w:val="32"/>
          <w:szCs w:val="32"/>
        </w:rPr>
        <w:br w:type="textWrapping"/>
      </w:r>
      <w:r>
        <w:rPr>
          <w:rFonts w:ascii="仿宋_GB2312" w:eastAsia="仿宋_GB2312"/>
          <w:sz w:val="32"/>
          <w:szCs w:val="32"/>
        </w:rPr>
        <w:t xml:space="preserve">   2080505机关事业单位基本养老保险缴费支出52.61万元；</w:t>
      </w:r>
      <w:r>
        <w:rPr>
          <w:rFonts w:ascii="仿宋_GB2312" w:eastAsia="仿宋_GB2312"/>
          <w:sz w:val="32"/>
          <w:szCs w:val="32"/>
        </w:rPr>
        <w:br w:type="textWrapping"/>
      </w:r>
      <w:r>
        <w:rPr>
          <w:rFonts w:ascii="仿宋_GB2312" w:eastAsia="仿宋_GB2312"/>
          <w:sz w:val="32"/>
          <w:szCs w:val="32"/>
        </w:rPr>
        <w:t xml:space="preserve">   2101101行政单位医疗支出22.36万元；</w:t>
      </w:r>
      <w:r>
        <w:rPr>
          <w:rFonts w:ascii="仿宋_GB2312" w:eastAsia="仿宋_GB2312"/>
          <w:sz w:val="32"/>
          <w:szCs w:val="32"/>
        </w:rPr>
        <w:br w:type="textWrapping"/>
      </w:r>
      <w:r>
        <w:rPr>
          <w:rFonts w:ascii="仿宋_GB2312" w:eastAsia="仿宋_GB2312"/>
          <w:sz w:val="32"/>
          <w:szCs w:val="32"/>
        </w:rPr>
        <w:t xml:space="preserve">   2101102事业单位医疗支出2.02万元；</w:t>
      </w:r>
      <w:r>
        <w:rPr>
          <w:rFonts w:ascii="仿宋_GB2312" w:eastAsia="仿宋_GB2312"/>
          <w:sz w:val="32"/>
          <w:szCs w:val="32"/>
        </w:rPr>
        <w:br w:type="textWrapping"/>
      </w:r>
      <w:r>
        <w:rPr>
          <w:rFonts w:ascii="仿宋_GB2312" w:eastAsia="仿宋_GB2312"/>
          <w:sz w:val="32"/>
          <w:szCs w:val="32"/>
        </w:rPr>
        <w:t xml:space="preserve">   2101103公务员医疗补助支出5.73万元；</w:t>
      </w:r>
      <w:r>
        <w:rPr>
          <w:rFonts w:ascii="仿宋_GB2312" w:eastAsia="仿宋_GB2312"/>
          <w:sz w:val="32"/>
          <w:szCs w:val="32"/>
        </w:rPr>
        <w:br w:type="textWrapping"/>
      </w:r>
      <w:r>
        <w:rPr>
          <w:rFonts w:ascii="仿宋_GB2312" w:eastAsia="仿宋_GB2312"/>
          <w:sz w:val="32"/>
          <w:szCs w:val="32"/>
        </w:rPr>
        <w:t xml:space="preserve">   2130101行政运行支出327.94万元；</w:t>
      </w:r>
      <w:r>
        <w:rPr>
          <w:rFonts w:ascii="仿宋_GB2312" w:eastAsia="仿宋_GB2312"/>
          <w:sz w:val="32"/>
          <w:szCs w:val="32"/>
        </w:rPr>
        <w:br w:type="textWrapping"/>
      </w:r>
      <w:r>
        <w:rPr>
          <w:rFonts w:ascii="仿宋_GB2312" w:eastAsia="仿宋_GB2312"/>
          <w:sz w:val="32"/>
          <w:szCs w:val="32"/>
        </w:rPr>
        <w:t xml:space="preserve">   2130104事业运行支出62.09万元；</w:t>
      </w:r>
      <w:r>
        <w:rPr>
          <w:rFonts w:ascii="仿宋_GB2312" w:eastAsia="仿宋_GB2312"/>
          <w:sz w:val="32"/>
          <w:szCs w:val="32"/>
        </w:rPr>
        <w:br w:type="textWrapping"/>
      </w:r>
      <w:r>
        <w:rPr>
          <w:rFonts w:ascii="仿宋_GB2312" w:eastAsia="仿宋_GB2312"/>
          <w:sz w:val="32"/>
          <w:szCs w:val="32"/>
        </w:rPr>
        <w:t xml:space="preserve">   2130106科技转化与推广服务支出311.75万元；</w:t>
      </w:r>
      <w:r>
        <w:rPr>
          <w:rFonts w:ascii="仿宋_GB2312" w:eastAsia="仿宋_GB2312"/>
          <w:sz w:val="32"/>
          <w:szCs w:val="32"/>
        </w:rPr>
        <w:br w:type="textWrapping"/>
      </w:r>
      <w:r>
        <w:rPr>
          <w:rFonts w:ascii="仿宋_GB2312" w:eastAsia="仿宋_GB2312"/>
          <w:sz w:val="32"/>
          <w:szCs w:val="32"/>
        </w:rPr>
        <w:t xml:space="preserve">   2130119防灾救灾支出45万元；</w:t>
      </w:r>
      <w:r>
        <w:rPr>
          <w:rFonts w:ascii="仿宋_GB2312" w:eastAsia="仿宋_GB2312"/>
          <w:sz w:val="32"/>
          <w:szCs w:val="32"/>
        </w:rPr>
        <w:br w:type="textWrapping"/>
      </w:r>
      <w:r>
        <w:rPr>
          <w:rFonts w:ascii="仿宋_GB2312" w:eastAsia="仿宋_GB2312"/>
          <w:sz w:val="32"/>
          <w:szCs w:val="32"/>
        </w:rPr>
        <w:t xml:space="preserve">   2130125农产品加工与促销支出15万元；</w:t>
      </w:r>
      <w:r>
        <w:rPr>
          <w:rFonts w:ascii="仿宋_GB2312" w:eastAsia="仿宋_GB2312"/>
          <w:sz w:val="32"/>
          <w:szCs w:val="32"/>
        </w:rPr>
        <w:br w:type="textWrapping"/>
      </w:r>
      <w:r>
        <w:rPr>
          <w:rFonts w:ascii="仿宋_GB2312" w:eastAsia="仿宋_GB2312"/>
          <w:sz w:val="32"/>
          <w:szCs w:val="32"/>
        </w:rPr>
        <w:t xml:space="preserve">   2130135农业资源保护修复与利用支出7.95万元；</w:t>
      </w:r>
      <w:r>
        <w:rPr>
          <w:rFonts w:ascii="仿宋_GB2312" w:eastAsia="仿宋_GB2312"/>
          <w:sz w:val="32"/>
          <w:szCs w:val="32"/>
        </w:rPr>
        <w:br w:type="textWrapping"/>
      </w:r>
      <w:r>
        <w:rPr>
          <w:rFonts w:ascii="仿宋_GB2312" w:eastAsia="仿宋_GB2312"/>
          <w:sz w:val="32"/>
          <w:szCs w:val="32"/>
        </w:rPr>
        <w:t xml:space="preserve">   2130199其他农业支出535.26万元；</w:t>
      </w:r>
      <w:r>
        <w:rPr>
          <w:rFonts w:ascii="仿宋_GB2312" w:eastAsia="仿宋_GB2312"/>
          <w:sz w:val="32"/>
          <w:szCs w:val="32"/>
        </w:rPr>
        <w:br w:type="textWrapping"/>
      </w:r>
      <w:r>
        <w:rPr>
          <w:rFonts w:ascii="仿宋_GB2312" w:eastAsia="仿宋_GB2312"/>
          <w:sz w:val="32"/>
          <w:szCs w:val="32"/>
        </w:rPr>
        <w:t xml:space="preserve">   2130505生产发展支出1,394.32万元；</w:t>
      </w:r>
      <w:r>
        <w:rPr>
          <w:rFonts w:ascii="仿宋_GB2312" w:eastAsia="仿宋_GB2312"/>
          <w:sz w:val="32"/>
          <w:szCs w:val="32"/>
        </w:rPr>
        <w:br w:type="textWrapping"/>
      </w:r>
      <w:r>
        <w:rPr>
          <w:rFonts w:ascii="仿宋_GB2312" w:eastAsia="仿宋_GB2312"/>
          <w:sz w:val="32"/>
          <w:szCs w:val="32"/>
        </w:rPr>
        <w:t xml:space="preserve">   2130599其他扶贫支出54.33万元；</w:t>
      </w:r>
      <w:r>
        <w:rPr>
          <w:rFonts w:ascii="仿宋_GB2312" w:eastAsia="仿宋_GB2312"/>
          <w:sz w:val="32"/>
          <w:szCs w:val="32"/>
        </w:rPr>
        <w:br w:type="textWrapping"/>
      </w:r>
      <w:r>
        <w:rPr>
          <w:rFonts w:ascii="仿宋_GB2312" w:eastAsia="仿宋_GB2312"/>
          <w:sz w:val="32"/>
          <w:szCs w:val="32"/>
        </w:rPr>
        <w:t xml:space="preserve">   2139999其他农林水支出26.22万元；</w:t>
      </w:r>
      <w:r>
        <w:rPr>
          <w:rFonts w:ascii="仿宋_GB2312" w:eastAsia="仿宋_GB2312"/>
          <w:sz w:val="32"/>
          <w:szCs w:val="32"/>
        </w:rPr>
        <w:br w:type="textWrapping"/>
      </w:r>
      <w:r>
        <w:rPr>
          <w:rFonts w:ascii="仿宋_GB2312" w:eastAsia="仿宋_GB2312"/>
          <w:sz w:val="32"/>
          <w:szCs w:val="32"/>
        </w:rPr>
        <w:t xml:space="preserve">   2210201住房公积金支出38.1</w:t>
      </w:r>
      <w:r>
        <w:rPr>
          <w:rFonts w:hint="eastAsia" w:ascii="仿宋_GB2312" w:eastAsia="仿宋_GB2312"/>
          <w:sz w:val="32"/>
          <w:szCs w:val="32"/>
          <w:lang w:val="en-US" w:eastAsia="zh-CN"/>
        </w:rPr>
        <w:t>7</w:t>
      </w:r>
      <w:bookmarkStart w:id="54" w:name="_GoBack"/>
      <w:bookmarkEnd w:id="54"/>
      <w:r>
        <w:rPr>
          <w:rFonts w:ascii="仿宋_GB2312" w:eastAsia="仿宋_GB2312"/>
          <w:sz w:val="32"/>
          <w:szCs w:val="32"/>
        </w:rPr>
        <w:t>万元；</w:t>
      </w:r>
      <w:r>
        <w:rPr>
          <w:rFonts w:ascii="仿宋_GB2312" w:eastAsia="仿宋_GB2312"/>
          <w:sz w:val="32"/>
          <w:szCs w:val="32"/>
        </w:rPr>
        <w:br w:type="textWrapping"/>
      </w:r>
      <w:r>
        <w:rPr>
          <w:rFonts w:ascii="仿宋_GB2312" w:eastAsia="仿宋_GB2312"/>
          <w:sz w:val="32"/>
          <w:szCs w:val="32"/>
        </w:rPr>
        <w:t xml:space="preserve">   2299901其他支出45万元。</w:t>
      </w:r>
    </w:p>
    <w:p>
      <w:pPr>
        <w:ind w:firstLine="640" w:firstLineChars="200"/>
        <w:outlineLvl w:val="1"/>
        <w:rPr>
          <w:rFonts w:ascii="黑体" w:hAnsi="黑体" w:eastAsia="黑体" w:cs="宋体"/>
          <w:bCs/>
          <w:kern w:val="0"/>
          <w:sz w:val="32"/>
          <w:szCs w:val="32"/>
        </w:rPr>
      </w:pPr>
      <w:bookmarkStart w:id="18" w:name="_Toc30870"/>
      <w:bookmarkStart w:id="19" w:name="_Toc11146"/>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年度一般公共预算财政拨款基本支出511.23万元，其中：</w:t>
      </w:r>
    </w:p>
    <w:p>
      <w:pPr>
        <w:ind w:firstLine="640" w:firstLineChars="200"/>
        <w:rPr>
          <w:rFonts w:ascii="仿宋_GB2312" w:eastAsia="仿宋_GB2312"/>
          <w:sz w:val="32"/>
          <w:szCs w:val="32"/>
        </w:rPr>
      </w:pPr>
      <w:r>
        <w:rPr>
          <w:rFonts w:hint="eastAsia" w:ascii="仿宋_GB2312" w:eastAsia="仿宋_GB2312"/>
          <w:sz w:val="32"/>
          <w:szCs w:val="32"/>
        </w:rPr>
        <w:t>人员经费452.07万元，包括：基本工资、津贴补贴、机关事业单位基本养老保险缴费、职工基本医疗保险缴费、公务员医疗补助缴费、其他社会保障缴费、住房公积金、</w:t>
      </w:r>
      <w:r>
        <w:rPr>
          <w:rFonts w:hint="eastAsia" w:ascii="仿宋_GB2312" w:eastAsia="仿宋_GB2312"/>
          <w:color w:val="auto"/>
          <w:sz w:val="32"/>
          <w:szCs w:val="32"/>
          <w:lang w:eastAsia="zh-CN"/>
        </w:rPr>
        <w:t>对个人和家庭的补助、</w:t>
      </w:r>
      <w:r>
        <w:rPr>
          <w:rFonts w:hint="eastAsia" w:ascii="仿宋_GB2312" w:eastAsia="仿宋_GB2312"/>
          <w:sz w:val="32"/>
          <w:szCs w:val="32"/>
        </w:rPr>
        <w:t>退休费、生活补助。</w:t>
      </w:r>
    </w:p>
    <w:p>
      <w:pPr>
        <w:ind w:firstLine="640" w:firstLineChars="200"/>
        <w:rPr>
          <w:rFonts w:ascii="仿宋_GB2312" w:eastAsia="仿宋_GB2312"/>
          <w:sz w:val="32"/>
          <w:szCs w:val="32"/>
        </w:rPr>
      </w:pPr>
      <w:r>
        <w:rPr>
          <w:rFonts w:hint="eastAsia" w:ascii="仿宋_GB2312" w:eastAsia="仿宋_GB2312"/>
          <w:sz w:val="32"/>
          <w:szCs w:val="32"/>
        </w:rPr>
        <w:t>公用经费59.17万元，包括：办公费、邮电费、取暖费、差旅费、劳务费、公务用车运行维护费。</w:t>
      </w:r>
    </w:p>
    <w:p>
      <w:pPr>
        <w:ind w:firstLine="640" w:firstLineChars="200"/>
        <w:outlineLvl w:val="1"/>
        <w:rPr>
          <w:rFonts w:ascii="黑体" w:hAnsi="黑体" w:eastAsia="黑体" w:cs="宋体"/>
          <w:bCs/>
          <w:kern w:val="0"/>
          <w:sz w:val="32"/>
          <w:szCs w:val="32"/>
        </w:rPr>
      </w:pPr>
      <w:bookmarkStart w:id="20" w:name="_Toc21518"/>
      <w:bookmarkStart w:id="21" w:name="_Toc7190"/>
      <w:r>
        <w:rPr>
          <w:rFonts w:hint="eastAsia" w:ascii="黑体" w:hAnsi="黑体" w:eastAsia="黑体" w:cs="宋体"/>
          <w:bCs/>
          <w:kern w:val="0"/>
          <w:sz w:val="32"/>
          <w:szCs w:val="32"/>
        </w:rPr>
        <w:t>七、一般公共预算财政拨款“三公”经费支出决算情况说明</w:t>
      </w:r>
      <w:bookmarkEnd w:id="20"/>
      <w:bookmarkEnd w:id="21"/>
    </w:p>
    <w:p>
      <w:pPr>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一般公共预算“三公”经费支出决算16.80万元，比上年减少4.20万元，降低20%，主要原因是单位机构改革，机构重组，经费减少。其中，因公出国（境）费支出0万元，占0%，比上年增加0万元，增长0%，主要原因是无此项内容；公务用车购置及运行维护费支出16.80万元，占100%，比上年减少4.20万元，降低20%，主要原因是单位机构改革，机构重组，经费减少；公务接待费支出0万元，占0%，比上年增加0万元，增长0%，主要原因是无此项内容。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因公出国（境）费支出0万元，开支内容包括：</w:t>
      </w:r>
      <w:r>
        <w:rPr>
          <w:rFonts w:ascii="仿宋_GB2312" w:eastAsia="仿宋_GB2312"/>
          <w:color w:val="000000" w:themeColor="text1"/>
          <w:sz w:val="32"/>
          <w:szCs w:val="32"/>
          <w14:textFill>
            <w14:solidFill>
              <w14:schemeClr w14:val="tx1"/>
            </w14:solidFill>
          </w14:textFill>
        </w:rPr>
        <w:t>无此项内容。</w:t>
      </w:r>
      <w:r>
        <w:rPr>
          <w:rFonts w:hint="eastAsia" w:ascii="仿宋_GB2312" w:eastAsia="仿宋_GB2312"/>
          <w:sz w:val="32"/>
          <w:szCs w:val="32"/>
        </w:rPr>
        <w:t>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16.80万元，其中，公务用车购置费0万元，公务用车运行维护费16.80万元。公务用车运行维护费开支内容包括单位机构改革，机构重组，经费减少。公务用车购置数0辆，公务用车保有量4辆。</w:t>
      </w:r>
    </w:p>
    <w:p>
      <w:pPr>
        <w:ind w:firstLine="640" w:firstLineChars="200"/>
        <w:rPr>
          <w:rFonts w:ascii="仿宋_GB2312" w:eastAsia="仿宋_GB2312"/>
          <w:sz w:val="32"/>
          <w:szCs w:val="32"/>
        </w:rPr>
      </w:pPr>
      <w:r>
        <w:rPr>
          <w:rFonts w:hint="eastAsia" w:ascii="仿宋_GB2312" w:eastAsia="仿宋_GB2312"/>
          <w:sz w:val="32"/>
          <w:szCs w:val="32"/>
        </w:rPr>
        <w:t>公务接待费0万元，开支内容包括无此项内容。单位全年安排的国内公务接待0批次，0人次。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w:t>
      </w:r>
      <w:r>
        <w:rPr>
          <w:rFonts w:ascii="仿宋_GB2312" w:eastAsia="仿宋_GB2312"/>
          <w:color w:val="000000" w:themeColor="text1"/>
          <w:sz w:val="32"/>
          <w:szCs w:val="32"/>
          <w14:textFill>
            <w14:solidFill>
              <w14:schemeClr w14:val="tx1"/>
            </w14:solidFill>
          </w14:textFill>
        </w:rPr>
        <w:t>17</w:t>
      </w:r>
      <w:r>
        <w:rPr>
          <w:rFonts w:hint="eastAsia" w:ascii="仿宋_GB2312" w:eastAsia="仿宋_GB2312"/>
          <w:sz w:val="32"/>
          <w:szCs w:val="32"/>
        </w:rPr>
        <w:t>万元，决算数</w:t>
      </w:r>
      <w:r>
        <w:rPr>
          <w:rFonts w:hint="eastAsia" w:ascii="仿宋_GB2312" w:eastAsia="仿宋_GB2312"/>
          <w:color w:val="000000" w:themeColor="text1"/>
          <w:sz w:val="32"/>
          <w:szCs w:val="32"/>
          <w14:textFill>
            <w14:solidFill>
              <w14:schemeClr w14:val="tx1"/>
            </w14:solidFill>
          </w14:textFill>
        </w:rPr>
        <w:t>16.80</w:t>
      </w:r>
      <w:r>
        <w:rPr>
          <w:rFonts w:hint="eastAsia" w:ascii="仿宋_GB2312" w:eastAsia="仿宋_GB2312"/>
          <w:sz w:val="32"/>
          <w:szCs w:val="32"/>
        </w:rPr>
        <w:t>万元</w:t>
      </w:r>
      <w:r>
        <w:rPr>
          <w:rFonts w:ascii="仿宋_GB2312" w:eastAsia="仿宋_GB2312"/>
          <w:color w:val="000000" w:themeColor="text1"/>
          <w:sz w:val="32"/>
          <w:szCs w:val="32"/>
          <w14:textFill>
            <w14:solidFill>
              <w14:schemeClr w14:val="tx1"/>
            </w14:solidFill>
          </w14:textFill>
        </w:rPr>
        <w:t>，预决算差异率-1.18%，主要原因是：单位机构改革，机构重组，经费减少。</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万元，决算数</w:t>
      </w:r>
      <w:r>
        <w:rPr>
          <w:rFonts w:hint="eastAsia"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w:t>
      </w:r>
      <w:r>
        <w:rPr>
          <w:rFonts w:ascii="仿宋_GB2312" w:eastAsia="仿宋_GB2312"/>
          <w:color w:val="000000" w:themeColor="text1"/>
          <w:sz w:val="32"/>
          <w:szCs w:val="32"/>
          <w14:textFill>
            <w14:solidFill>
              <w14:schemeClr w14:val="tx1"/>
            </w14:solidFill>
          </w14:textFill>
        </w:rPr>
        <w:t>，预决算差异率0%，主要原因是：无此项内容；</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万元，决算数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w:t>
      </w:r>
      <w:r>
        <w:rPr>
          <w:rFonts w:ascii="仿宋_GB2312" w:eastAsia="仿宋_GB2312"/>
          <w:color w:val="000000" w:themeColor="text1"/>
          <w:sz w:val="32"/>
          <w:szCs w:val="32"/>
          <w14:textFill>
            <w14:solidFill>
              <w14:schemeClr w14:val="tx1"/>
            </w14:solidFill>
          </w14:textFill>
        </w:rPr>
        <w:t>，预决算差异率0%，主要原因是：无此项内容；</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w:t>
      </w:r>
      <w:r>
        <w:rPr>
          <w:rFonts w:ascii="仿宋_GB2312" w:eastAsia="仿宋_GB2312"/>
          <w:color w:val="000000" w:themeColor="text1"/>
          <w:sz w:val="32"/>
          <w:szCs w:val="32"/>
          <w14:textFill>
            <w14:solidFill>
              <w14:schemeClr w14:val="tx1"/>
            </w14:solidFill>
          </w14:textFill>
        </w:rPr>
        <w:t>17</w:t>
      </w:r>
      <w:r>
        <w:rPr>
          <w:rFonts w:hint="eastAsia" w:ascii="仿宋_GB2312" w:eastAsia="仿宋_GB2312"/>
          <w:sz w:val="32"/>
          <w:szCs w:val="32"/>
        </w:rPr>
        <w:t>万元，决算数</w:t>
      </w:r>
      <w:r>
        <w:rPr>
          <w:rFonts w:ascii="仿宋_GB2312" w:eastAsia="仿宋_GB2312"/>
          <w:color w:val="000000" w:themeColor="text1"/>
          <w:sz w:val="32"/>
          <w:szCs w:val="32"/>
          <w14:textFill>
            <w14:solidFill>
              <w14:schemeClr w14:val="tx1"/>
            </w14:solidFill>
          </w14:textFill>
        </w:rPr>
        <w:t>16.80</w:t>
      </w:r>
      <w:r>
        <w:rPr>
          <w:rFonts w:hint="eastAsia" w:ascii="仿宋_GB2312" w:eastAsia="仿宋_GB2312"/>
          <w:sz w:val="32"/>
          <w:szCs w:val="32"/>
        </w:rPr>
        <w:t>万元</w:t>
      </w:r>
      <w:r>
        <w:rPr>
          <w:rFonts w:ascii="仿宋_GB2312" w:eastAsia="仿宋_GB2312"/>
          <w:color w:val="000000" w:themeColor="text1"/>
          <w:sz w:val="32"/>
          <w:szCs w:val="32"/>
          <w14:textFill>
            <w14:solidFill>
              <w14:schemeClr w14:val="tx1"/>
            </w14:solidFill>
          </w14:textFill>
        </w:rPr>
        <w:t>，预决算差异率-1.18%，主要原因是：单位机构改革，机构重组，经费减少；</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万元，决算数</w:t>
      </w:r>
      <w:r>
        <w:rPr>
          <w:rFonts w:hint="eastAsia"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w:t>
      </w:r>
      <w:r>
        <w:rPr>
          <w:rFonts w:ascii="仿宋_GB2312" w:eastAsia="仿宋_GB2312"/>
          <w:color w:val="000000" w:themeColor="text1"/>
          <w:sz w:val="32"/>
          <w:szCs w:val="32"/>
          <w14:textFill>
            <w14:solidFill>
              <w14:schemeClr w14:val="tx1"/>
            </w14:solidFill>
          </w14:textFill>
        </w:rPr>
        <w:t>，预决算差异率0%，主要原因是：无此项内容。</w:t>
      </w:r>
    </w:p>
    <w:p>
      <w:pPr>
        <w:ind w:firstLine="640" w:firstLineChars="200"/>
        <w:outlineLvl w:val="1"/>
        <w:rPr>
          <w:rFonts w:ascii="黑体" w:hAnsi="黑体" w:eastAsia="黑体" w:cs="宋体"/>
          <w:bCs/>
          <w:kern w:val="0"/>
          <w:sz w:val="32"/>
          <w:szCs w:val="32"/>
        </w:rPr>
      </w:pPr>
      <w:bookmarkStart w:id="22" w:name="_Toc7927"/>
      <w:bookmarkStart w:id="23" w:name="_Toc5810"/>
      <w:r>
        <w:rPr>
          <w:rFonts w:hint="eastAsia" w:ascii="黑体" w:hAnsi="黑体" w:eastAsia="黑体" w:cs="宋体"/>
          <w:bCs/>
          <w:kern w:val="0"/>
          <w:sz w:val="32"/>
          <w:szCs w:val="32"/>
        </w:rPr>
        <w:t>八、政府性基金预算收入支出决算情况说明</w:t>
      </w:r>
      <w:bookmarkEnd w:id="22"/>
      <w:bookmarkEnd w:id="23"/>
    </w:p>
    <w:p>
      <w:pPr>
        <w:ind w:firstLine="640" w:firstLineChars="200"/>
        <w:rPr>
          <w:rFonts w:ascii="仿宋_GB2312" w:eastAsia="仿宋_GB2312"/>
          <w:color w:val="000000" w:themeColor="text1"/>
          <w:sz w:val="32"/>
          <w:szCs w:val="32"/>
          <w14:textFill>
            <w14:solidFill>
              <w14:schemeClr w14:val="tx1"/>
            </w14:solidFill>
          </w14:textFill>
        </w:rPr>
      </w:pPr>
      <w:r>
        <w:rPr>
          <w:rFonts w:ascii="仿宋_GB2312" w:eastAsia="仿宋_GB2312"/>
          <w:color w:val="000000" w:themeColor="text1"/>
          <w:sz w:val="32"/>
          <w:szCs w:val="32"/>
          <w14:textFill>
            <w14:solidFill>
              <w14:schemeClr w14:val="tx1"/>
            </w14:solidFill>
          </w14:textFill>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bookmarkStart w:id="24" w:name="_Toc7314"/>
      <w:bookmarkStart w:id="25" w:name="_Toc1235"/>
      <w:r>
        <w:rPr>
          <w:rFonts w:hint="eastAsia" w:ascii="黑体" w:hAnsi="黑体" w:eastAsia="黑体" w:cs="宋体"/>
          <w:bCs/>
          <w:kern w:val="0"/>
          <w:sz w:val="32"/>
          <w:szCs w:val="32"/>
        </w:rPr>
        <w:t>九、其他重要事项的情况说明</w:t>
      </w:r>
      <w:bookmarkEnd w:id="24"/>
      <w:bookmarkEnd w:id="25"/>
    </w:p>
    <w:p>
      <w:pPr>
        <w:ind w:firstLine="640" w:firstLineChars="200"/>
        <w:outlineLvl w:val="2"/>
        <w:rPr>
          <w:rFonts w:ascii="黑体" w:hAnsi="黑体" w:eastAsia="黑体"/>
          <w:sz w:val="32"/>
          <w:szCs w:val="32"/>
        </w:rPr>
      </w:pPr>
      <w:bookmarkStart w:id="26" w:name="_Toc13105"/>
      <w:bookmarkStart w:id="27" w:name="_Toc14519"/>
      <w:r>
        <w:rPr>
          <w:rFonts w:hint="eastAsia" w:ascii="黑体" w:hAnsi="黑体" w:eastAsia="黑体"/>
          <w:sz w:val="32"/>
          <w:szCs w:val="32"/>
        </w:rPr>
        <w:t>（一）机关运行经费支出情况</w:t>
      </w:r>
      <w:bookmarkEnd w:id="26"/>
      <w:bookmarkEnd w:id="27"/>
    </w:p>
    <w:p>
      <w:pPr>
        <w:ind w:firstLine="640" w:firstLineChars="200"/>
        <w:rPr>
          <w:rFonts w:ascii="仿宋_GB2312" w:eastAsia="仿宋_GB2312"/>
          <w:sz w:val="32"/>
          <w:szCs w:val="32"/>
        </w:rPr>
      </w:pPr>
      <w:r>
        <w:rPr>
          <w:rFonts w:hint="eastAsia" w:ascii="仿宋_GB2312" w:eastAsia="仿宋_GB2312"/>
          <w:color w:val="000000" w:themeColor="text1"/>
          <w:sz w:val="32"/>
          <w:szCs w:val="32"/>
          <w14:textFill>
            <w14:solidFill>
              <w14:schemeClr w14:val="tx1"/>
            </w14:solidFill>
          </w14:textFill>
        </w:rPr>
        <w:t>2019年度新疆喀什地区巴楚县农业农村局机关运行经费支出59.17万元，比上年增加14.98万元，增长33.9%，主要原因是日常公用经费商品和服务支出增加。</w:t>
      </w:r>
    </w:p>
    <w:p>
      <w:pPr>
        <w:ind w:firstLine="640" w:firstLineChars="200"/>
        <w:outlineLvl w:val="2"/>
        <w:rPr>
          <w:rFonts w:ascii="黑体" w:hAnsi="黑体" w:eastAsia="黑体"/>
          <w:sz w:val="32"/>
          <w:szCs w:val="32"/>
        </w:rPr>
      </w:pPr>
      <w:bookmarkStart w:id="28" w:name="_Toc26704"/>
      <w:bookmarkStart w:id="29" w:name="_Toc227"/>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年度政府采购支出总额1,225.16万元，其中：政府采购货物支出713.65万元、政府采购工程支出0万元、政府采购服务支出511.50万元。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授予中小企业合同金额1,225.16万元，占政府采购支出总额的100%，其中：授予小微企业合同金额1,223.86万元，占政府采购支出总额的99.89%。</w:t>
      </w:r>
    </w:p>
    <w:p>
      <w:pPr>
        <w:ind w:firstLine="640" w:firstLineChars="200"/>
        <w:outlineLvl w:val="2"/>
        <w:rPr>
          <w:rFonts w:ascii="黑体" w:hAnsi="黑体" w:eastAsia="黑体"/>
          <w:sz w:val="32"/>
          <w:szCs w:val="32"/>
        </w:rPr>
      </w:pPr>
      <w:bookmarkStart w:id="30" w:name="_Toc8391"/>
      <w:bookmarkStart w:id="31" w:name="_Toc45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hint="eastAsia" w:ascii="仿宋_GB2312" w:eastAsia="仿宋_GB2312"/>
          <w:sz w:val="32"/>
          <w:szCs w:val="32"/>
        </w:rPr>
        <w:t>截止</w:t>
      </w:r>
      <w:r>
        <w:rPr>
          <w:rFonts w:ascii="仿宋_GB2312" w:eastAsia="仿宋_GB2312"/>
          <w:sz w:val="32"/>
          <w:szCs w:val="32"/>
        </w:rPr>
        <w:t>2019</w:t>
      </w:r>
      <w:r>
        <w:rPr>
          <w:rFonts w:hint="eastAsia" w:ascii="仿宋_GB2312" w:eastAsia="仿宋_GB2312"/>
          <w:sz w:val="32"/>
          <w:szCs w:val="32"/>
        </w:rPr>
        <w:t>年12月31日，单位共有房屋1,800（平方米），价值248.25万元。车辆4辆，价值88.37万元，其中：副部（省）级及以上领导用车0辆、主要领导干部用车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辆、机要通信用车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辆、应急保障用车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辆、执法执勤用车0辆、特种专业技术用车0辆、离退休干部用车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辆、其他用车</w:t>
      </w:r>
      <w:r>
        <w:rPr>
          <w:rFonts w:ascii="仿宋_GB2312" w:eastAsia="仿宋_GB2312"/>
          <w:color w:val="000000" w:themeColor="text1"/>
          <w:sz w:val="32"/>
          <w:szCs w:val="32"/>
          <w14:textFill>
            <w14:solidFill>
              <w14:schemeClr w14:val="tx1"/>
            </w14:solidFill>
          </w14:textFill>
        </w:rPr>
        <w:t>4</w:t>
      </w:r>
      <w:r>
        <w:rPr>
          <w:rFonts w:hint="eastAsia" w:ascii="仿宋_GB2312" w:eastAsia="仿宋_GB2312"/>
          <w:sz w:val="32"/>
          <w:szCs w:val="32"/>
        </w:rPr>
        <w:t>辆，其他用车主要是：</w:t>
      </w:r>
      <w:r>
        <w:rPr>
          <w:rFonts w:ascii="仿宋_GB2312" w:eastAsia="仿宋_GB2312"/>
          <w:color w:val="000000" w:themeColor="text1"/>
          <w:sz w:val="32"/>
          <w:szCs w:val="32"/>
          <w14:textFill>
            <w14:solidFill>
              <w14:schemeClr w14:val="tx1"/>
            </w14:solidFill>
          </w14:textFill>
        </w:rPr>
        <w:t>日常公务用车；</w:t>
      </w:r>
      <w:r>
        <w:rPr>
          <w:rFonts w:hint="eastAsia" w:ascii="仿宋_GB2312" w:eastAsia="仿宋_GB2312"/>
          <w:sz w:val="32"/>
          <w:szCs w:val="32"/>
        </w:rPr>
        <w:t>单位价值50万元以上通用设备0台（套）、单位价值100万元以上专用设备0台（套）。</w:t>
      </w:r>
    </w:p>
    <w:p>
      <w:pPr>
        <w:ind w:firstLine="640" w:firstLineChars="200"/>
        <w:outlineLvl w:val="1"/>
        <w:rPr>
          <w:rFonts w:ascii="黑体" w:hAnsi="黑体" w:eastAsia="黑体" w:cs="宋体"/>
          <w:bCs/>
          <w:kern w:val="0"/>
          <w:sz w:val="32"/>
          <w:szCs w:val="32"/>
        </w:rPr>
      </w:pPr>
      <w:bookmarkStart w:id="32" w:name="_Toc435"/>
      <w:bookmarkStart w:id="33" w:name="_Toc11283"/>
      <w:r>
        <w:rPr>
          <w:rFonts w:hint="eastAsia" w:ascii="黑体" w:hAnsi="黑体" w:eastAsia="黑体" w:cs="宋体"/>
          <w:bCs/>
          <w:kern w:val="0"/>
          <w:sz w:val="32"/>
          <w:szCs w:val="32"/>
        </w:rPr>
        <w:t>十、预算绩效的情况说明</w:t>
      </w:r>
      <w:bookmarkEnd w:id="32"/>
      <w:bookmarkEnd w:id="33"/>
    </w:p>
    <w:p>
      <w:pPr>
        <w:ind w:firstLine="640" w:firstLineChars="200"/>
        <w:rPr>
          <w:rFonts w:ascii="仿宋_GB2312" w:eastAsia="仿宋_GB2312"/>
          <w:sz w:val="32"/>
          <w:szCs w:val="32"/>
          <w:highlight w:val="none"/>
        </w:rPr>
      </w:pPr>
      <w:r>
        <w:rPr>
          <w:rFonts w:hint="eastAsia" w:ascii="仿宋_GB2312" w:eastAsia="仿宋_GB2312"/>
          <w:sz w:val="32"/>
          <w:szCs w:val="32"/>
          <w:highlight w:val="none"/>
        </w:rPr>
        <w:t>根据预算绩效管理要求，我单位2019年度开展预算绩效评价项目</w:t>
      </w:r>
      <w:r>
        <w:rPr>
          <w:rFonts w:hint="eastAsia" w:ascii="仿宋_GB2312" w:eastAsia="仿宋_GB2312"/>
          <w:sz w:val="32"/>
          <w:szCs w:val="32"/>
          <w:highlight w:val="none"/>
          <w:lang w:val="en-US" w:eastAsia="zh-CN"/>
        </w:rPr>
        <w:t>15</w:t>
      </w:r>
      <w:r>
        <w:rPr>
          <w:rFonts w:hint="eastAsia" w:ascii="仿宋_GB2312" w:eastAsia="仿宋_GB2312"/>
          <w:sz w:val="32"/>
          <w:szCs w:val="32"/>
          <w:highlight w:val="none"/>
        </w:rPr>
        <w:t>个。预算绩效管理取得的成效：一是产出指标评价：2019年庭院拱棚项目新建拱棚</w:t>
      </w:r>
      <w:r>
        <w:rPr>
          <w:rFonts w:hint="eastAsia" w:ascii="仿宋_GB2312" w:eastAsia="仿宋_GB2312"/>
          <w:sz w:val="32"/>
          <w:szCs w:val="32"/>
          <w:highlight w:val="none"/>
          <w:lang w:val="en-US" w:eastAsia="zh-CN"/>
        </w:rPr>
        <w:t>1611</w:t>
      </w:r>
      <w:r>
        <w:rPr>
          <w:rFonts w:hint="eastAsia" w:ascii="仿宋_GB2312" w:eastAsia="仿宋_GB2312"/>
          <w:sz w:val="32"/>
          <w:szCs w:val="32"/>
          <w:highlight w:val="none"/>
        </w:rPr>
        <w:t>座</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户均安装庭院拱棚成本2000元，</w:t>
      </w:r>
      <w:r>
        <w:rPr>
          <w:rFonts w:hint="eastAsia" w:ascii="仿宋_GB2312" w:eastAsia="仿宋_GB2312"/>
          <w:sz w:val="32"/>
          <w:szCs w:val="32"/>
          <w:highlight w:val="none"/>
          <w:lang w:eastAsia="zh-CN"/>
        </w:rPr>
        <w:t>种植作物成活率</w:t>
      </w:r>
      <w:r>
        <w:rPr>
          <w:rFonts w:hint="eastAsia" w:ascii="仿宋_GB2312" w:eastAsia="仿宋_GB2312"/>
          <w:sz w:val="32"/>
          <w:szCs w:val="32"/>
          <w:highlight w:val="none"/>
          <w:lang w:val="en-US" w:eastAsia="zh-CN"/>
        </w:rPr>
        <w:t>90%；贫困户庭院经济巩固提升项目对19000户贫困户庭院内外进行整治，每户修建葡萄架10米，每户葡萄定植5株，每户庭院菜地种植60平方米，每户小果园果树10株，每户庭院整治补助标准2988.7元；</w:t>
      </w:r>
      <w:r>
        <w:rPr>
          <w:rFonts w:hint="eastAsia" w:ascii="仿宋_GB2312" w:eastAsia="仿宋_GB2312"/>
          <w:sz w:val="32"/>
          <w:szCs w:val="32"/>
          <w:highlight w:val="none"/>
        </w:rPr>
        <w:t>2019年巴楚县棉花绿色高质高效创建项目</w:t>
      </w:r>
      <w:r>
        <w:rPr>
          <w:rFonts w:hint="eastAsia" w:ascii="仿宋_GB2312" w:eastAsia="仿宋_GB2312"/>
          <w:sz w:val="32"/>
          <w:szCs w:val="32"/>
          <w:highlight w:val="none"/>
          <w:lang w:eastAsia="zh-CN"/>
        </w:rPr>
        <w:t>，发放尿素395吨、棉花专用滴灌肥16.7吨、磷酸二氢钾5吨，完成无人机化调4.7万亩，绿色高质高效创建示范区亩生产成本降低</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通过规范的招投标及严格的资金管理及项目管理措施实现了资金的节约。二是效益指标评价：2019年庭院拱棚项目户均年经济收入增加</w:t>
      </w:r>
      <w:r>
        <w:rPr>
          <w:rFonts w:hint="eastAsia" w:ascii="仿宋_GB2312" w:eastAsia="仿宋_GB2312"/>
          <w:sz w:val="32"/>
          <w:szCs w:val="32"/>
          <w:highlight w:val="none"/>
          <w:lang w:val="en-US" w:eastAsia="zh-CN"/>
        </w:rPr>
        <w:t>500</w:t>
      </w:r>
      <w:r>
        <w:rPr>
          <w:rFonts w:hint="eastAsia" w:ascii="仿宋_GB2312" w:eastAsia="仿宋_GB2312"/>
          <w:sz w:val="32"/>
          <w:szCs w:val="32"/>
          <w:highlight w:val="none"/>
        </w:rPr>
        <w:t>元</w:t>
      </w:r>
      <w:r>
        <w:rPr>
          <w:rFonts w:hint="eastAsia" w:ascii="仿宋_GB2312" w:eastAsia="仿宋_GB2312"/>
          <w:sz w:val="32"/>
          <w:szCs w:val="32"/>
          <w:highlight w:val="none"/>
          <w:lang w:eastAsia="zh-CN"/>
        </w:rPr>
        <w:t>，带动建档立卡贫困人口就业</w:t>
      </w:r>
      <w:r>
        <w:rPr>
          <w:rFonts w:hint="eastAsia" w:ascii="仿宋_GB2312" w:eastAsia="仿宋_GB2312"/>
          <w:sz w:val="32"/>
          <w:szCs w:val="32"/>
          <w:highlight w:val="none"/>
          <w:lang w:val="en-US" w:eastAsia="zh-CN"/>
        </w:rPr>
        <w:t>1611</w:t>
      </w:r>
      <w:r>
        <w:rPr>
          <w:rFonts w:hint="eastAsia" w:ascii="仿宋_GB2312" w:eastAsia="仿宋_GB2312"/>
          <w:sz w:val="32"/>
          <w:szCs w:val="32"/>
          <w:highlight w:val="none"/>
          <w:lang w:eastAsia="zh-CN"/>
        </w:rPr>
        <w:t>人；</w:t>
      </w:r>
      <w:r>
        <w:rPr>
          <w:rFonts w:hint="eastAsia" w:ascii="仿宋_GB2312" w:eastAsia="仿宋_GB2312"/>
          <w:sz w:val="32"/>
          <w:szCs w:val="32"/>
          <w:highlight w:val="none"/>
          <w:lang w:val="en-US" w:eastAsia="zh-CN"/>
        </w:rPr>
        <w:t>贫困户庭院经济巩固提升项目，带动贫困户发展庭院经济的积极性明显提高，建档立卡贫困户居住环境明显改善，受益建档立卡贫困人口10000人，带动增加贫困人口全年总收入300万元；2019年巴楚县棉花绿色高质高效创建项目，</w:t>
      </w:r>
      <w:r>
        <w:rPr>
          <w:rFonts w:hint="eastAsia" w:ascii="仿宋_GB2312" w:eastAsia="仿宋_GB2312"/>
          <w:sz w:val="32"/>
          <w:szCs w:val="32"/>
          <w:highlight w:val="none"/>
        </w:rPr>
        <w:t>棉花绿色高质高效发展规模</w:t>
      </w:r>
      <w:r>
        <w:rPr>
          <w:rFonts w:hint="eastAsia" w:ascii="仿宋_GB2312" w:eastAsia="仿宋_GB2312"/>
          <w:sz w:val="32"/>
          <w:szCs w:val="32"/>
          <w:highlight w:val="none"/>
          <w:lang w:eastAsia="zh-CN"/>
        </w:rPr>
        <w:t>不断扩大，棉花绿色优质农产品供给率和质量、效益不断提高，示范区创建对当地创建作物绿色高质量发展带动能力明显增强，创建示范区化肥、农药使用量较上年减少量</w:t>
      </w:r>
      <w:r>
        <w:rPr>
          <w:rFonts w:hint="eastAsia" w:ascii="仿宋_GB2312" w:eastAsia="仿宋_GB2312"/>
          <w:sz w:val="32"/>
          <w:szCs w:val="32"/>
          <w:highlight w:val="none"/>
          <w:lang w:val="en-US" w:eastAsia="zh-CN"/>
        </w:rPr>
        <w:t>2%。</w:t>
      </w:r>
      <w:r>
        <w:rPr>
          <w:rFonts w:hint="eastAsia" w:ascii="仿宋_GB2312" w:eastAsia="仿宋_GB2312"/>
          <w:sz w:val="32"/>
          <w:szCs w:val="32"/>
          <w:highlight w:val="none"/>
        </w:rPr>
        <w:t>三是满意度指标评价：根据调查问卷，2019年庭院拱棚项目满意度指标完成</w:t>
      </w:r>
      <w:r>
        <w:rPr>
          <w:rFonts w:hint="eastAsia" w:ascii="仿宋_GB2312" w:eastAsia="仿宋_GB2312"/>
          <w:sz w:val="32"/>
          <w:szCs w:val="32"/>
          <w:highlight w:val="none"/>
          <w:lang w:val="en-US" w:eastAsia="zh-CN"/>
        </w:rPr>
        <w:t>95%</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贫困户庭院经济巩固提升项目</w:t>
      </w:r>
      <w:r>
        <w:rPr>
          <w:rFonts w:hint="eastAsia" w:ascii="仿宋_GB2312" w:eastAsia="仿宋_GB2312"/>
          <w:sz w:val="32"/>
          <w:szCs w:val="32"/>
          <w:highlight w:val="none"/>
        </w:rPr>
        <w:t>满意度指标完成</w:t>
      </w:r>
      <w:r>
        <w:rPr>
          <w:rFonts w:hint="eastAsia" w:ascii="仿宋_GB2312" w:eastAsia="仿宋_GB2312"/>
          <w:sz w:val="32"/>
          <w:szCs w:val="32"/>
          <w:highlight w:val="none"/>
          <w:lang w:val="en-US" w:eastAsia="zh-CN"/>
        </w:rPr>
        <w:t>95%。2019年巴楚县棉花绿色高质高效创建项目</w:t>
      </w:r>
      <w:r>
        <w:rPr>
          <w:rFonts w:hint="eastAsia" w:ascii="仿宋_GB2312" w:eastAsia="仿宋_GB2312"/>
          <w:sz w:val="32"/>
          <w:szCs w:val="32"/>
          <w:highlight w:val="none"/>
        </w:rPr>
        <w:t>满意度指标完成</w:t>
      </w:r>
      <w:r>
        <w:rPr>
          <w:rFonts w:hint="eastAsia" w:ascii="仿宋_GB2312" w:eastAsia="仿宋_GB2312"/>
          <w:sz w:val="32"/>
          <w:szCs w:val="32"/>
          <w:highlight w:val="none"/>
          <w:lang w:val="en-US" w:eastAsia="zh-CN"/>
        </w:rPr>
        <w:t>90%。</w:t>
      </w:r>
      <w:r>
        <w:rPr>
          <w:rFonts w:hint="eastAsia" w:ascii="仿宋_GB2312" w:eastAsia="仿宋_GB2312"/>
          <w:sz w:val="32"/>
          <w:szCs w:val="32"/>
          <w:highlight w:val="none"/>
        </w:rPr>
        <w:t>发现的问题及原因：一是项目前期</w:t>
      </w:r>
      <w:r>
        <w:rPr>
          <w:rFonts w:hint="eastAsia" w:ascii="仿宋_GB2312" w:eastAsia="仿宋_GB2312"/>
          <w:sz w:val="32"/>
          <w:szCs w:val="32"/>
          <w:highlight w:val="none"/>
          <w:lang w:val="en-US" w:eastAsia="zh-CN"/>
        </w:rPr>
        <w:t>准备时间较长</w:t>
      </w:r>
      <w:r>
        <w:rPr>
          <w:rFonts w:hint="eastAsia" w:ascii="仿宋_GB2312" w:eastAsia="仿宋_GB2312"/>
          <w:sz w:val="32"/>
          <w:szCs w:val="32"/>
          <w:highlight w:val="none"/>
        </w:rPr>
        <w:t>资金未及时拨付，导致了资金滞缓，影响了项目的进度。二是绩效管理机构人员不健全基础管理工作比较薄弱。下一步改进措施：一是年初做好资金计划，按照项目进度及时拨付资金，使资金使用效益最大化</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二</w:t>
      </w:r>
      <w:r>
        <w:rPr>
          <w:rFonts w:hint="eastAsia" w:ascii="仿宋_GB2312" w:eastAsia="仿宋_GB2312"/>
          <w:sz w:val="32"/>
          <w:szCs w:val="32"/>
          <w:highlight w:val="none"/>
        </w:rPr>
        <w:t>是加强绩效管理工作的人员业务培训；</w:t>
      </w:r>
      <w:r>
        <w:rPr>
          <w:rFonts w:hint="eastAsia" w:ascii="仿宋_GB2312" w:eastAsia="仿宋_GB2312"/>
          <w:sz w:val="32"/>
          <w:szCs w:val="32"/>
          <w:highlight w:val="none"/>
          <w:lang w:val="en-US" w:eastAsia="zh-CN"/>
        </w:rPr>
        <w:t>三</w:t>
      </w:r>
      <w:r>
        <w:rPr>
          <w:rFonts w:hint="eastAsia" w:ascii="仿宋_GB2312" w:eastAsia="仿宋_GB2312"/>
          <w:sz w:val="32"/>
          <w:szCs w:val="32"/>
          <w:highlight w:val="none"/>
        </w:rPr>
        <w:t>是建立健全规章制度，对绩效管理工作细化、量化，增加可操作性</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四</w:t>
      </w:r>
      <w:r>
        <w:rPr>
          <w:rFonts w:hint="eastAsia" w:ascii="仿宋_GB2312" w:eastAsia="仿宋_GB2312"/>
          <w:sz w:val="32"/>
          <w:szCs w:val="32"/>
          <w:highlight w:val="none"/>
        </w:rPr>
        <w:t>是制定科学合理的绩效考核机制，进一步细化绩效考核流程，并严格执行绩效考核制度，切忌</w:t>
      </w:r>
      <w:r>
        <w:rPr>
          <w:rFonts w:hint="eastAsia" w:ascii="仿宋_GB2312" w:eastAsia="仿宋_GB2312"/>
          <w:sz w:val="32"/>
          <w:szCs w:val="32"/>
          <w:highlight w:val="none"/>
          <w:lang w:eastAsia="zh-CN"/>
        </w:rPr>
        <w:t>流</w:t>
      </w:r>
      <w:r>
        <w:rPr>
          <w:rFonts w:hint="eastAsia" w:ascii="仿宋_GB2312" w:eastAsia="仿宋_GB2312"/>
          <w:sz w:val="32"/>
          <w:szCs w:val="32"/>
          <w:highlight w:val="none"/>
        </w:rPr>
        <w:t>于形式。具体项目自评情况附项目支出绩效自评表。</w:t>
      </w:r>
    </w:p>
    <w:p>
      <w:pPr>
        <w:ind w:firstLine="640" w:firstLineChars="200"/>
        <w:rPr>
          <w:rFonts w:ascii="仿宋_GB2312" w:eastAsia="仿宋_GB2312"/>
          <w:sz w:val="32"/>
          <w:szCs w:val="32"/>
        </w:rPr>
      </w:pPr>
    </w:p>
    <w:p>
      <w:pPr>
        <w:ind w:firstLine="640" w:firstLineChars="200"/>
        <w:jc w:val="center"/>
        <w:outlineLvl w:val="0"/>
        <w:rPr>
          <w:rFonts w:ascii="黑体" w:hAnsi="黑体" w:eastAsia="黑体"/>
          <w:sz w:val="32"/>
          <w:szCs w:val="32"/>
        </w:rPr>
      </w:pPr>
      <w:bookmarkStart w:id="34" w:name="_Toc24143"/>
      <w:bookmarkStart w:id="35" w:name="_Toc3250"/>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bookmarkStart w:id="36" w:name="_Toc22784"/>
      <w:bookmarkStart w:id="37" w:name="_Toc28903"/>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6062"/>
      <w:bookmarkStart w:id="39" w:name="_Toc2183"/>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30364"/>
      <w:bookmarkStart w:id="41" w:name="_Toc24532"/>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32434"/>
      <w:bookmarkStart w:id="43" w:name="_Toc2130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4869"/>
      <w:bookmarkStart w:id="47" w:name="_Toc10347"/>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5626"/>
      <w:bookmarkStart w:id="49" w:name="_Toc8884"/>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32663"/>
      <w:bookmarkStart w:id="51" w:name="_Toc29106"/>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5453"/>
      <w:bookmarkStart w:id="53" w:name="_Toc7643"/>
      <w:r>
        <w:rPr>
          <w:rFonts w:hint="eastAsia" w:ascii="黑体" w:hAnsi="黑体" w:eastAsia="黑体" w:cs="宋体"/>
          <w:bCs/>
          <w:kern w:val="0"/>
          <w:sz w:val="32"/>
          <w:szCs w:val="32"/>
        </w:rPr>
        <w:t>八、《政府性基金预算财政拨款收入支出决算表》</w:t>
      </w:r>
      <w:bookmarkEnd w:id="52"/>
      <w:bookmarkEnd w:id="53"/>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AencV45wEAALYD&#10;AAAOAAAAAAAAAAEAIAAAAB4BAABkcnMvZTJvRG9jLnhtbFBLBQYAAAAABgAGAFkBAAB3BQ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4"/>
  <w:bordersDoNotSurroundHeader w:val="1"/>
  <w:bordersDoNotSurroundFooter w:val="1"/>
  <w:documentProtection w:edit="comment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E66"/>
    <w:rsid w:val="000033EF"/>
    <w:rsid w:val="00004533"/>
    <w:rsid w:val="00005A21"/>
    <w:rsid w:val="0004063C"/>
    <w:rsid w:val="000701A7"/>
    <w:rsid w:val="00082456"/>
    <w:rsid w:val="000A663A"/>
    <w:rsid w:val="000B57B8"/>
    <w:rsid w:val="000F01B7"/>
    <w:rsid w:val="000F6705"/>
    <w:rsid w:val="001128A8"/>
    <w:rsid w:val="001130AE"/>
    <w:rsid w:val="001237CF"/>
    <w:rsid w:val="00125A6F"/>
    <w:rsid w:val="0014029C"/>
    <w:rsid w:val="00146FA3"/>
    <w:rsid w:val="00162E66"/>
    <w:rsid w:val="001826D1"/>
    <w:rsid w:val="001848EE"/>
    <w:rsid w:val="00186B3B"/>
    <w:rsid w:val="001C2D35"/>
    <w:rsid w:val="001C5BE8"/>
    <w:rsid w:val="001C6E66"/>
    <w:rsid w:val="001D3634"/>
    <w:rsid w:val="001D37EF"/>
    <w:rsid w:val="001E4D79"/>
    <w:rsid w:val="001F777A"/>
    <w:rsid w:val="002122DE"/>
    <w:rsid w:val="00227229"/>
    <w:rsid w:val="002328AF"/>
    <w:rsid w:val="00233021"/>
    <w:rsid w:val="0024217C"/>
    <w:rsid w:val="00243E6C"/>
    <w:rsid w:val="00265F92"/>
    <w:rsid w:val="00272845"/>
    <w:rsid w:val="0029171A"/>
    <w:rsid w:val="00292B7F"/>
    <w:rsid w:val="002B072F"/>
    <w:rsid w:val="002B37DA"/>
    <w:rsid w:val="002B7A04"/>
    <w:rsid w:val="002D187F"/>
    <w:rsid w:val="002F1732"/>
    <w:rsid w:val="00327986"/>
    <w:rsid w:val="003314E6"/>
    <w:rsid w:val="00340AE7"/>
    <w:rsid w:val="00354737"/>
    <w:rsid w:val="0037159F"/>
    <w:rsid w:val="00377EC6"/>
    <w:rsid w:val="003920B8"/>
    <w:rsid w:val="003A44F0"/>
    <w:rsid w:val="003C3EF4"/>
    <w:rsid w:val="003D1DD1"/>
    <w:rsid w:val="003E5F70"/>
    <w:rsid w:val="00400D8F"/>
    <w:rsid w:val="00430E56"/>
    <w:rsid w:val="004318F5"/>
    <w:rsid w:val="00456820"/>
    <w:rsid w:val="00471387"/>
    <w:rsid w:val="00471BBD"/>
    <w:rsid w:val="0047268F"/>
    <w:rsid w:val="004A41CF"/>
    <w:rsid w:val="004A44C9"/>
    <w:rsid w:val="004B2E7F"/>
    <w:rsid w:val="004D35C0"/>
    <w:rsid w:val="004E519F"/>
    <w:rsid w:val="004F1D2D"/>
    <w:rsid w:val="00531503"/>
    <w:rsid w:val="00534ECA"/>
    <w:rsid w:val="005358C2"/>
    <w:rsid w:val="005474EB"/>
    <w:rsid w:val="005506DD"/>
    <w:rsid w:val="005529D0"/>
    <w:rsid w:val="00553FB5"/>
    <w:rsid w:val="00554A58"/>
    <w:rsid w:val="00560394"/>
    <w:rsid w:val="0056525F"/>
    <w:rsid w:val="005B1DE6"/>
    <w:rsid w:val="005C11EB"/>
    <w:rsid w:val="006032AE"/>
    <w:rsid w:val="0068591E"/>
    <w:rsid w:val="00690F22"/>
    <w:rsid w:val="00693012"/>
    <w:rsid w:val="006B0B73"/>
    <w:rsid w:val="006D2B94"/>
    <w:rsid w:val="006E0721"/>
    <w:rsid w:val="0070295D"/>
    <w:rsid w:val="00725755"/>
    <w:rsid w:val="0075023C"/>
    <w:rsid w:val="00750D8A"/>
    <w:rsid w:val="00764051"/>
    <w:rsid w:val="00772611"/>
    <w:rsid w:val="007741F8"/>
    <w:rsid w:val="007B0022"/>
    <w:rsid w:val="007E2E4F"/>
    <w:rsid w:val="007E3BFD"/>
    <w:rsid w:val="00807B4B"/>
    <w:rsid w:val="008144CF"/>
    <w:rsid w:val="00827663"/>
    <w:rsid w:val="00847CE1"/>
    <w:rsid w:val="00852D88"/>
    <w:rsid w:val="00857132"/>
    <w:rsid w:val="00862395"/>
    <w:rsid w:val="008853A8"/>
    <w:rsid w:val="00887778"/>
    <w:rsid w:val="008D5B57"/>
    <w:rsid w:val="008F7D99"/>
    <w:rsid w:val="00922FA7"/>
    <w:rsid w:val="00927301"/>
    <w:rsid w:val="009351E1"/>
    <w:rsid w:val="0094423A"/>
    <w:rsid w:val="00963E2E"/>
    <w:rsid w:val="009774AD"/>
    <w:rsid w:val="00980F6F"/>
    <w:rsid w:val="009A173F"/>
    <w:rsid w:val="009C479E"/>
    <w:rsid w:val="009F4245"/>
    <w:rsid w:val="009F594D"/>
    <w:rsid w:val="00A009B3"/>
    <w:rsid w:val="00A239E7"/>
    <w:rsid w:val="00A34EDA"/>
    <w:rsid w:val="00AA13D0"/>
    <w:rsid w:val="00AC0B18"/>
    <w:rsid w:val="00AC1D87"/>
    <w:rsid w:val="00AE136F"/>
    <w:rsid w:val="00AE6C82"/>
    <w:rsid w:val="00AE7A56"/>
    <w:rsid w:val="00AF0871"/>
    <w:rsid w:val="00AF530E"/>
    <w:rsid w:val="00AF5DFE"/>
    <w:rsid w:val="00B006E5"/>
    <w:rsid w:val="00B13535"/>
    <w:rsid w:val="00B24234"/>
    <w:rsid w:val="00B3219F"/>
    <w:rsid w:val="00B51D57"/>
    <w:rsid w:val="00B64D13"/>
    <w:rsid w:val="00B76725"/>
    <w:rsid w:val="00BC38D2"/>
    <w:rsid w:val="00BC65E4"/>
    <w:rsid w:val="00BE0A9F"/>
    <w:rsid w:val="00C01003"/>
    <w:rsid w:val="00C87860"/>
    <w:rsid w:val="00C92609"/>
    <w:rsid w:val="00C974A0"/>
    <w:rsid w:val="00CA0969"/>
    <w:rsid w:val="00CB7A14"/>
    <w:rsid w:val="00CD1E0A"/>
    <w:rsid w:val="00CD44C9"/>
    <w:rsid w:val="00CE40E2"/>
    <w:rsid w:val="00CE4AEB"/>
    <w:rsid w:val="00CE74CB"/>
    <w:rsid w:val="00D00B68"/>
    <w:rsid w:val="00D04E19"/>
    <w:rsid w:val="00D6644C"/>
    <w:rsid w:val="00D71F68"/>
    <w:rsid w:val="00D767F4"/>
    <w:rsid w:val="00DA07A0"/>
    <w:rsid w:val="00DB6F81"/>
    <w:rsid w:val="00DC1313"/>
    <w:rsid w:val="00DD3B82"/>
    <w:rsid w:val="00E43F43"/>
    <w:rsid w:val="00EE3598"/>
    <w:rsid w:val="00EE791B"/>
    <w:rsid w:val="00F040C7"/>
    <w:rsid w:val="00F04DC0"/>
    <w:rsid w:val="00F24BA1"/>
    <w:rsid w:val="00F45607"/>
    <w:rsid w:val="00F552F7"/>
    <w:rsid w:val="00F57EE2"/>
    <w:rsid w:val="00F777E1"/>
    <w:rsid w:val="00F80266"/>
    <w:rsid w:val="00F83E19"/>
    <w:rsid w:val="00FB3828"/>
    <w:rsid w:val="00FC7A52"/>
    <w:rsid w:val="00FE0761"/>
    <w:rsid w:val="00FF5166"/>
    <w:rsid w:val="04032DF5"/>
    <w:rsid w:val="06792773"/>
    <w:rsid w:val="09EF67B5"/>
    <w:rsid w:val="0DB12D25"/>
    <w:rsid w:val="0F753FC1"/>
    <w:rsid w:val="1DAF458D"/>
    <w:rsid w:val="2109105C"/>
    <w:rsid w:val="272521B1"/>
    <w:rsid w:val="28403BDE"/>
    <w:rsid w:val="2A053397"/>
    <w:rsid w:val="2D1136DF"/>
    <w:rsid w:val="31C63837"/>
    <w:rsid w:val="33262102"/>
    <w:rsid w:val="3D5275AC"/>
    <w:rsid w:val="46901EEE"/>
    <w:rsid w:val="469C74D2"/>
    <w:rsid w:val="50DB5F45"/>
    <w:rsid w:val="543C183D"/>
    <w:rsid w:val="65BE78DD"/>
    <w:rsid w:val="69AD798C"/>
    <w:rsid w:val="6B68175F"/>
    <w:rsid w:val="73FB6630"/>
    <w:rsid w:val="77ED6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1034</Words>
  <Characters>5894</Characters>
  <Lines>49</Lines>
  <Paragraphs>13</Paragraphs>
  <TotalTime>1</TotalTime>
  <ScaleCrop>false</ScaleCrop>
  <LinksUpToDate>false</LinksUpToDate>
  <CharactersWithSpaces>6915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2020-07-16T02:47:00Z</dcterms:created>
  <dc:creator>GXR</dc:creator>
  <cp:lastModifiedBy>Lenovo</cp:lastModifiedBy>
  <dcterms:modified xsi:type="dcterms:W3CDTF">2021-06-18T12:12:08Z</dcterms:modified>
  <cp:revision>150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